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125a75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color w:val="125a75"/>
          <w:sz w:val="44"/>
          <w:szCs w:val="44"/>
          <w:rtl w:val="0"/>
        </w:rPr>
        <w:t xml:space="preserve">Website Design</w:t>
      </w:r>
      <w:r w:rsidDel="00000000" w:rsidR="00000000" w:rsidRPr="00000000">
        <w:rPr>
          <w:rFonts w:ascii="Times New Roman" w:cs="Times New Roman" w:eastAsia="Times New Roman" w:hAnsi="Times New Roman"/>
          <w:color w:val="125a75"/>
          <w:sz w:val="44"/>
          <w:szCs w:val="44"/>
          <w:rtl w:val="0"/>
        </w:rPr>
        <w:t xml:space="preserve"> Packages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2325"/>
        <w:gridCol w:w="2340"/>
        <w:gridCol w:w="2340"/>
        <w:tblGridChange w:id="0">
          <w:tblGrid>
            <w:gridCol w:w="2355"/>
            <w:gridCol w:w="2325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color w:val="0000ff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color w:val="0000ff"/>
                <w:sz w:val="29"/>
                <w:szCs w:val="29"/>
                <w:highlight w:val="white"/>
                <w:rtl w:val="0"/>
              </w:rPr>
              <w:t xml:space="preserve">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color w:val="c9daf8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c9daf8"/>
                <w:sz w:val="28"/>
                <w:szCs w:val="28"/>
                <w:highlight w:val="white"/>
                <w:rtl w:val="0"/>
              </w:rPr>
              <w:t xml:space="preserve">For Start 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9900ff"/>
                <w:sz w:val="32"/>
                <w:szCs w:val="32"/>
                <w:highlight w:val="white"/>
                <w:rtl w:val="0"/>
              </w:rPr>
              <w:t xml:space="preserve">For Small Business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highlight w:val="white"/>
                <w:rtl w:val="0"/>
              </w:rPr>
              <w:t xml:space="preserve">For ECommerce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Up to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Up to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Up to 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Platform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Core PHP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Core PHP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Core PHP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Theme Based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Theme Based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Theme Based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Dynamic / Static Website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Dynamic / Static Website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Dynamic Website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Features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Mobile Responsive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Mobile Responsive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Mobile Responsive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SEO Friendly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SEO Friendly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SEO Friendly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Blog Setup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Blog Setup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Blog Setup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color w:val="0000ff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Live Chat Feature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Live Chat Feature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Live Chat Feature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Contact Forms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Contact Forms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Contact Forms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Google Map Integration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Google Map Integration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My Account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Image &amp; Video Gallery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Image &amp; Video Gallery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Wishlist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Shopping Cart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Product Listing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Multiple Product Image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Best Sellers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Latest Arrivals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Payment Gateway Integration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Multiple Currency Support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Multiple Language Support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Content Writing(Extra per word)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1 to 2 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INR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1 to 2 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INR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1 to 2 INR </w:t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Contact Us</w:t>
      </w:r>
    </w:p>
    <w:p w:rsidR="00000000" w:rsidDel="00000000" w:rsidP="00000000" w:rsidRDefault="00000000" w:rsidRPr="00000000" w14:paraId="0000005A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Call Us:- +91-786-301-7701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Email Us:- orgotinfotech@gmail.com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rPr/>
    </w:pPr>
    <w:r w:rsidDel="00000000" w:rsidR="00000000" w:rsidRPr="00000000">
      <w:rPr/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  <w:tab/>
      <w:tab/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5230368</wp:posOffset>
          </wp:positionH>
          <wp:positionV relativeFrom="paragraph">
            <wp:posOffset>1</wp:posOffset>
          </wp:positionV>
          <wp:extent cx="900113" cy="900113"/>
          <wp:effectExtent b="0" l="0" r="0" t="0"/>
          <wp:wrapTopAndBottom distB="114300" distT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0113" cy="9001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